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0413" w14:textId="33B3C068" w:rsidR="0057126E" w:rsidRPr="009F3172" w:rsidRDefault="008E436D" w:rsidP="009F3172">
      <w:pPr>
        <w:pStyle w:val="Heading1"/>
        <w:jc w:val="center"/>
      </w:pPr>
      <w:r>
        <w:t xml:space="preserve">CCNA 200-301 </w:t>
      </w:r>
      <w:r w:rsidR="00B70947">
        <w:t>Official</w:t>
      </w:r>
      <w:r w:rsidR="0057126E">
        <w:t xml:space="preserve"> Cert Guide</w:t>
      </w:r>
      <w:r>
        <w:t xml:space="preserve">, Volume </w:t>
      </w:r>
      <w:r w:rsidR="00DE19D8">
        <w:t>2</w:t>
      </w:r>
    </w:p>
    <w:p w14:paraId="0E67253F" w14:textId="77777777" w:rsidR="0057126E" w:rsidRPr="00FA63E2" w:rsidRDefault="0057126E" w:rsidP="0057126E"/>
    <w:p w14:paraId="260C9B49" w14:textId="393F3F29" w:rsidR="0057126E" w:rsidRPr="00B37752" w:rsidRDefault="0034739F" w:rsidP="0057126E">
      <w:pPr>
        <w:pStyle w:val="CRHD"/>
        <w:jc w:val="center"/>
        <w:rPr>
          <w:rFonts w:ascii="Verdana" w:hAnsi="Verdana"/>
        </w:rPr>
      </w:pPr>
      <w:r>
        <w:rPr>
          <w:rFonts w:ascii="Verdana" w:hAnsi="Verdana"/>
        </w:rPr>
        <w:t>Copyright © 201</w:t>
      </w:r>
      <w:r w:rsidR="00DE19D8">
        <w:rPr>
          <w:rFonts w:ascii="Verdana" w:hAnsi="Verdana"/>
        </w:rPr>
        <w:t>9</w:t>
      </w:r>
      <w:r w:rsidR="0057126E">
        <w:rPr>
          <w:rFonts w:ascii="Verdana" w:hAnsi="Verdana"/>
        </w:rPr>
        <w:t xml:space="preserve"> </w:t>
      </w:r>
      <w:r w:rsidR="00B70947">
        <w:rPr>
          <w:rFonts w:ascii="Verdana" w:hAnsi="Verdana"/>
        </w:rPr>
        <w:t xml:space="preserve">Pearson Education, Inc. </w:t>
      </w:r>
    </w:p>
    <w:p w14:paraId="5121653C" w14:textId="6B41142E" w:rsidR="00DE19D8" w:rsidRPr="00BE7D4B" w:rsidRDefault="00DE19D8" w:rsidP="00DE19D8">
      <w:pPr>
        <w:pStyle w:val="CR"/>
        <w:jc w:val="center"/>
        <w:rPr>
          <w:rFonts w:ascii="Verdana" w:hAnsi="Verdana"/>
        </w:rPr>
      </w:pPr>
      <w:r>
        <w:rPr>
          <w:rFonts w:ascii="Verdana" w:hAnsi="Verdana"/>
        </w:rPr>
        <w:t xml:space="preserve">       </w:t>
      </w:r>
      <w:r w:rsidRPr="00BE7D4B">
        <w:rPr>
          <w:rFonts w:ascii="Verdana" w:hAnsi="Verdana"/>
        </w:rPr>
        <w:t xml:space="preserve">ISBN-10: </w:t>
      </w:r>
      <w:r>
        <w:rPr>
          <w:rFonts w:ascii="Verdana" w:hAnsi="Verdana"/>
          <w:bCs/>
        </w:rPr>
        <w:t>1-58714-713-0</w:t>
      </w:r>
      <w:r>
        <w:rPr>
          <w:rFonts w:ascii="Verdana" w:hAnsi="Verdana"/>
        </w:rPr>
        <w:br/>
        <w:t>ISBN-13: 9</w:t>
      </w:r>
      <w:r w:rsidRPr="00BE7D4B">
        <w:rPr>
          <w:rFonts w:ascii="Verdana" w:hAnsi="Verdana"/>
        </w:rPr>
        <w:t>78</w:t>
      </w:r>
      <w:r>
        <w:rPr>
          <w:rFonts w:ascii="Verdana" w:hAnsi="Verdana"/>
        </w:rPr>
        <w:t>-</w:t>
      </w:r>
      <w:r>
        <w:rPr>
          <w:rFonts w:ascii="Verdana" w:hAnsi="Verdana"/>
          <w:bCs/>
        </w:rPr>
        <w:t>1-58714-713-</w:t>
      </w:r>
      <w:r w:rsidR="00006D1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AF4A3C0"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r w:rsidR="008A6F68">
        <w:rPr>
          <w:rFonts w:ascii="Verdana" w:hAnsi="Verdana"/>
          <w:sz w:val="18"/>
        </w:rPr>
        <w:t xml:space="preserve"> </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0B177E" w14:paraId="6F0EFAF1" w14:textId="77777777" w:rsidTr="00543BA3">
        <w:tc>
          <w:tcPr>
            <w:tcW w:w="653" w:type="dxa"/>
          </w:tcPr>
          <w:p w14:paraId="01DFC5EF" w14:textId="77777777" w:rsidR="000B177E" w:rsidRDefault="000B177E"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00B92138" w14:textId="77777777" w:rsidR="000B177E" w:rsidRDefault="000B177E"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593C0815" w14:textId="77777777" w:rsidR="000B177E" w:rsidRDefault="000B177E" w:rsidP="00F630F5">
            <w:pPr>
              <w:spacing w:after="120"/>
              <w:rPr>
                <w:rFonts w:ascii="Verdana" w:hAnsi="Verdana" w:cs="Courier New"/>
                <w:sz w:val="18"/>
                <w:szCs w:val="20"/>
              </w:rPr>
            </w:pPr>
            <w:r>
              <w:rPr>
                <w:rFonts w:ascii="Verdana" w:hAnsi="Verdana" w:cs="Courier New"/>
                <w:sz w:val="18"/>
                <w:szCs w:val="20"/>
              </w:rPr>
              <w:t>Correction</w:t>
            </w:r>
          </w:p>
        </w:tc>
      </w:tr>
      <w:tr w:rsidR="00EC2FED" w14:paraId="5A3574B0" w14:textId="77777777" w:rsidTr="00543BA3">
        <w:tc>
          <w:tcPr>
            <w:tcW w:w="653" w:type="dxa"/>
          </w:tcPr>
          <w:p w14:paraId="75479336" w14:textId="234E1804" w:rsidR="00EC2FED" w:rsidRDefault="00EC2FED" w:rsidP="00F630F5">
            <w:pPr>
              <w:spacing w:after="120"/>
              <w:rPr>
                <w:rFonts w:ascii="Verdana" w:hAnsi="Verdana" w:cs="Courier New"/>
                <w:sz w:val="18"/>
                <w:szCs w:val="20"/>
              </w:rPr>
            </w:pPr>
            <w:r>
              <w:rPr>
                <w:rFonts w:ascii="Verdana" w:hAnsi="Verdana" w:cs="Courier New"/>
                <w:sz w:val="18"/>
                <w:szCs w:val="20"/>
              </w:rPr>
              <w:t>38</w:t>
            </w:r>
          </w:p>
        </w:tc>
        <w:tc>
          <w:tcPr>
            <w:tcW w:w="715" w:type="dxa"/>
          </w:tcPr>
          <w:p w14:paraId="55E77CB8" w14:textId="05FC1B69" w:rsidR="00EC2FED" w:rsidRDefault="00EC2FED"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CA893A9" w14:textId="552766C8" w:rsidR="00EC2FED" w:rsidRDefault="00EC2FED"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EC2FED">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line from top – </w:t>
            </w:r>
            <w:r w:rsidRPr="00EC2FED">
              <w:rPr>
                <w:rFonts w:ascii="Verdana" w:hAnsi="Verdana" w:cs="Arial"/>
                <w:b/>
                <w:bCs/>
                <w:color w:val="222222"/>
                <w:sz w:val="18"/>
                <w:szCs w:val="18"/>
                <w:shd w:val="clear" w:color="auto" w:fill="FFFFFF"/>
              </w:rPr>
              <w:t>deny all</w:t>
            </w:r>
            <w:r>
              <w:rPr>
                <w:rFonts w:ascii="Verdana" w:hAnsi="Verdana" w:cs="Arial"/>
                <w:color w:val="222222"/>
                <w:sz w:val="18"/>
                <w:szCs w:val="18"/>
                <w:shd w:val="clear" w:color="auto" w:fill="FFFFFF"/>
              </w:rPr>
              <w:t xml:space="preserve"> should be </w:t>
            </w:r>
            <w:r w:rsidRPr="00EC2FED">
              <w:rPr>
                <w:rFonts w:ascii="Verdana" w:hAnsi="Verdana" w:cs="Arial"/>
                <w:b/>
                <w:bCs/>
                <w:color w:val="222222"/>
                <w:sz w:val="18"/>
                <w:szCs w:val="18"/>
                <w:shd w:val="clear" w:color="auto" w:fill="FFFFFF"/>
              </w:rPr>
              <w:t>deny any</w:t>
            </w:r>
            <w:r>
              <w:rPr>
                <w:rFonts w:ascii="Verdana" w:hAnsi="Verdana" w:cs="Arial"/>
                <w:color w:val="222222"/>
                <w:sz w:val="18"/>
                <w:szCs w:val="18"/>
                <w:shd w:val="clear" w:color="auto" w:fill="FFFFFF"/>
              </w:rPr>
              <w:t xml:space="preserve"> to be syntactically correct.</w:t>
            </w:r>
          </w:p>
        </w:tc>
      </w:tr>
      <w:tr w:rsidR="00D27407" w14:paraId="267B9516" w14:textId="77777777" w:rsidTr="00543BA3">
        <w:tc>
          <w:tcPr>
            <w:tcW w:w="653" w:type="dxa"/>
          </w:tcPr>
          <w:p w14:paraId="41EDD72D" w14:textId="1FDA1356" w:rsidR="00D27407" w:rsidRDefault="00D27407" w:rsidP="00F630F5">
            <w:pPr>
              <w:spacing w:after="120"/>
              <w:rPr>
                <w:rFonts w:ascii="Verdana" w:hAnsi="Verdana" w:cs="Courier New"/>
                <w:sz w:val="18"/>
                <w:szCs w:val="20"/>
              </w:rPr>
            </w:pPr>
            <w:r>
              <w:rPr>
                <w:rFonts w:ascii="Verdana" w:hAnsi="Verdana" w:cs="Courier New"/>
                <w:sz w:val="18"/>
                <w:szCs w:val="20"/>
              </w:rPr>
              <w:t>77</w:t>
            </w:r>
          </w:p>
        </w:tc>
        <w:tc>
          <w:tcPr>
            <w:tcW w:w="715" w:type="dxa"/>
          </w:tcPr>
          <w:p w14:paraId="5C64BFD9" w14:textId="204F43A2" w:rsidR="00D27407" w:rsidRDefault="00D27407"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020D441" w14:textId="703D372E" w:rsidR="00D27407" w:rsidRDefault="00D27407"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4-2 – row that begins with text “Exhaust a system...” – columns for “Reflection” and “Amplification” – change “No” to “Yes”.</w:t>
            </w:r>
          </w:p>
        </w:tc>
      </w:tr>
      <w:tr w:rsidR="008C4DBB" w14:paraId="557A2C9B" w14:textId="77777777" w:rsidTr="00543BA3">
        <w:tc>
          <w:tcPr>
            <w:tcW w:w="653" w:type="dxa"/>
          </w:tcPr>
          <w:p w14:paraId="3D16FB97" w14:textId="77D8B917" w:rsidR="008C4DBB" w:rsidRDefault="008C4DBB" w:rsidP="00F630F5">
            <w:pPr>
              <w:spacing w:after="120"/>
              <w:rPr>
                <w:rFonts w:ascii="Verdana" w:hAnsi="Verdana" w:cs="Courier New"/>
                <w:sz w:val="18"/>
                <w:szCs w:val="20"/>
              </w:rPr>
            </w:pPr>
            <w:r>
              <w:rPr>
                <w:rFonts w:ascii="Verdana" w:hAnsi="Verdana" w:cs="Courier New"/>
                <w:sz w:val="18"/>
                <w:szCs w:val="20"/>
              </w:rPr>
              <w:t>76</w:t>
            </w:r>
          </w:p>
        </w:tc>
        <w:tc>
          <w:tcPr>
            <w:tcW w:w="715" w:type="dxa"/>
          </w:tcPr>
          <w:p w14:paraId="35BEB6BC" w14:textId="5041AA68" w:rsidR="008C4DBB" w:rsidRDefault="008C4DBB"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0750CD5" w14:textId="22EB4D8D" w:rsidR="008C4DBB" w:rsidRDefault="008C4DB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Figure 4-7 – Box below circled “3” – change </w:t>
            </w:r>
            <w:r w:rsidRPr="008C4DBB">
              <w:rPr>
                <w:rFonts w:ascii="Verdana" w:hAnsi="Verdana" w:cs="Arial"/>
                <w:b/>
                <w:bCs/>
                <w:color w:val="222222"/>
                <w:sz w:val="18"/>
                <w:szCs w:val="18"/>
                <w:shd w:val="clear" w:color="auto" w:fill="FFFFFF"/>
              </w:rPr>
              <w:t>192.168.100.10</w:t>
            </w:r>
            <w:r>
              <w:rPr>
                <w:rFonts w:ascii="Verdana" w:hAnsi="Verdana" w:cs="Arial"/>
                <w:color w:val="222222"/>
                <w:sz w:val="18"/>
                <w:szCs w:val="18"/>
                <w:shd w:val="clear" w:color="auto" w:fill="FFFFFF"/>
              </w:rPr>
              <w:t xml:space="preserve"> to </w:t>
            </w:r>
            <w:r w:rsidRPr="008C4DBB">
              <w:rPr>
                <w:rFonts w:ascii="Verdana" w:hAnsi="Verdana" w:cs="Arial"/>
                <w:b/>
                <w:bCs/>
                <w:color w:val="222222"/>
                <w:sz w:val="18"/>
                <w:szCs w:val="18"/>
                <w:shd w:val="clear" w:color="auto" w:fill="FFFFFF"/>
              </w:rPr>
              <w:t>198.51.100.10</w:t>
            </w:r>
            <w:r>
              <w:rPr>
                <w:rFonts w:ascii="Verdana" w:hAnsi="Verdana" w:cs="Arial"/>
                <w:color w:val="222222"/>
                <w:sz w:val="18"/>
                <w:szCs w:val="18"/>
                <w:shd w:val="clear" w:color="auto" w:fill="FFFFFF"/>
              </w:rPr>
              <w:t>.</w:t>
            </w:r>
          </w:p>
        </w:tc>
      </w:tr>
      <w:tr w:rsidR="000B177E" w14:paraId="7D9D69F9" w14:textId="77777777" w:rsidTr="00543BA3">
        <w:tc>
          <w:tcPr>
            <w:tcW w:w="653" w:type="dxa"/>
          </w:tcPr>
          <w:p w14:paraId="2CBDDD2C" w14:textId="77777777" w:rsidR="000B177E" w:rsidRDefault="000B177E" w:rsidP="00F630F5">
            <w:pPr>
              <w:spacing w:after="120"/>
              <w:rPr>
                <w:rFonts w:ascii="Verdana" w:hAnsi="Verdana" w:cs="Courier New"/>
                <w:sz w:val="18"/>
                <w:szCs w:val="20"/>
              </w:rPr>
            </w:pPr>
            <w:r>
              <w:rPr>
                <w:rFonts w:ascii="Verdana" w:hAnsi="Verdana" w:cs="Courier New"/>
                <w:sz w:val="18"/>
                <w:szCs w:val="20"/>
              </w:rPr>
              <w:t>92</w:t>
            </w:r>
          </w:p>
        </w:tc>
        <w:tc>
          <w:tcPr>
            <w:tcW w:w="715" w:type="dxa"/>
          </w:tcPr>
          <w:p w14:paraId="0ADAB0F0"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2C29366"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5-2 caption – change “cisco” to “</w:t>
            </w:r>
            <w:proofErr w:type="spellStart"/>
            <w:r>
              <w:rPr>
                <w:rFonts w:ascii="Verdana" w:hAnsi="Verdana" w:cs="Arial"/>
                <w:color w:val="222222"/>
                <w:sz w:val="18"/>
                <w:szCs w:val="18"/>
                <w:shd w:val="clear" w:color="auto" w:fill="FFFFFF"/>
              </w:rPr>
              <w:t>fred</w:t>
            </w:r>
            <w:proofErr w:type="spellEnd"/>
            <w:r>
              <w:rPr>
                <w:rFonts w:ascii="Verdana" w:hAnsi="Verdana" w:cs="Arial"/>
                <w:color w:val="222222"/>
                <w:sz w:val="18"/>
                <w:szCs w:val="18"/>
                <w:shd w:val="clear" w:color="auto" w:fill="FFFFFF"/>
              </w:rPr>
              <w:t>”.</w:t>
            </w:r>
          </w:p>
        </w:tc>
      </w:tr>
      <w:tr w:rsidR="000B177E" w14:paraId="5C9E08C9" w14:textId="77777777" w:rsidTr="00543BA3">
        <w:tc>
          <w:tcPr>
            <w:tcW w:w="653" w:type="dxa"/>
          </w:tcPr>
          <w:p w14:paraId="1AF75EF6" w14:textId="77777777" w:rsidR="000B177E" w:rsidRDefault="000B177E" w:rsidP="00F630F5">
            <w:pPr>
              <w:spacing w:after="120"/>
              <w:rPr>
                <w:rFonts w:ascii="Verdana" w:hAnsi="Verdana" w:cs="Courier New"/>
                <w:sz w:val="18"/>
                <w:szCs w:val="20"/>
              </w:rPr>
            </w:pPr>
            <w:r>
              <w:rPr>
                <w:rFonts w:ascii="Verdana" w:hAnsi="Verdana" w:cs="Courier New"/>
                <w:sz w:val="18"/>
                <w:szCs w:val="20"/>
              </w:rPr>
              <w:t>106</w:t>
            </w:r>
          </w:p>
        </w:tc>
        <w:tc>
          <w:tcPr>
            <w:tcW w:w="715" w:type="dxa"/>
          </w:tcPr>
          <w:p w14:paraId="1F02C455"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832B6DD"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Line before heading “Do I Know...” should end with “shutdown, </w:t>
            </w:r>
            <w:r w:rsidRPr="00834E1A">
              <w:rPr>
                <w:rFonts w:ascii="Verdana" w:hAnsi="Verdana" w:cs="Arial"/>
                <w:color w:val="222222"/>
                <w:sz w:val="18"/>
                <w:szCs w:val="18"/>
                <w:highlight w:val="yellow"/>
                <w:shd w:val="clear" w:color="auto" w:fill="FFFFFF"/>
              </w:rPr>
              <w:t>protect</w:t>
            </w:r>
            <w:r>
              <w:rPr>
                <w:rFonts w:ascii="Verdana" w:hAnsi="Verdana" w:cs="Arial"/>
                <w:color w:val="222222"/>
                <w:sz w:val="18"/>
                <w:szCs w:val="18"/>
                <w:shd w:val="clear" w:color="auto" w:fill="FFFFFF"/>
              </w:rPr>
              <w:t>, and restrict.”</w:t>
            </w:r>
          </w:p>
        </w:tc>
      </w:tr>
      <w:tr w:rsidR="008602E0" w14:paraId="35B1E572" w14:textId="77777777" w:rsidTr="00543BA3">
        <w:tc>
          <w:tcPr>
            <w:tcW w:w="653" w:type="dxa"/>
          </w:tcPr>
          <w:p w14:paraId="0103F80F" w14:textId="6AA96072" w:rsidR="008602E0" w:rsidRDefault="008602E0" w:rsidP="00F630F5">
            <w:pPr>
              <w:spacing w:after="120"/>
              <w:rPr>
                <w:rFonts w:ascii="Verdana" w:hAnsi="Verdana" w:cs="Courier New"/>
                <w:sz w:val="18"/>
                <w:szCs w:val="20"/>
              </w:rPr>
            </w:pPr>
            <w:r>
              <w:rPr>
                <w:rFonts w:ascii="Verdana" w:hAnsi="Verdana" w:cs="Courier New"/>
                <w:sz w:val="18"/>
                <w:szCs w:val="20"/>
              </w:rPr>
              <w:t>108</w:t>
            </w:r>
          </w:p>
        </w:tc>
        <w:tc>
          <w:tcPr>
            <w:tcW w:w="715" w:type="dxa"/>
          </w:tcPr>
          <w:p w14:paraId="10500F0D" w14:textId="7EE5ECEC" w:rsidR="008602E0" w:rsidRDefault="008602E0"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F176F78" w14:textId="4F8D2DB5" w:rsidR="008602E0" w:rsidRDefault="008602E0" w:rsidP="008602E0">
            <w:r>
              <w:rPr>
                <w:rFonts w:ascii="Verdana" w:hAnsi="Verdana" w:cs="Arial"/>
                <w:color w:val="222222"/>
                <w:sz w:val="18"/>
                <w:szCs w:val="18"/>
                <w:shd w:val="clear" w:color="auto" w:fill="FFFFFF"/>
              </w:rPr>
              <w:t xml:space="preserve">DIKTA Question 4, answer D, replace with: “The </w:t>
            </w:r>
            <w:r w:rsidRPr="008602E0">
              <w:rPr>
                <w:rFonts w:ascii="Verdana" w:hAnsi="Verdana" w:cs="Arial"/>
                <w:b/>
                <w:bCs/>
                <w:color w:val="222222"/>
                <w:sz w:val="18"/>
                <w:szCs w:val="18"/>
                <w:shd w:val="clear" w:color="auto" w:fill="FFFFFF"/>
              </w:rPr>
              <w:t>show port-security interface</w:t>
            </w:r>
            <w:r>
              <w:rPr>
                <w:rFonts w:ascii="Verdana" w:hAnsi="Verdana" w:cs="Arial"/>
                <w:color w:val="222222"/>
                <w:sz w:val="18"/>
                <w:szCs w:val="18"/>
                <w:shd w:val="clear" w:color="auto" w:fill="FFFFFF"/>
              </w:rPr>
              <w:t xml:space="preserve"> </w:t>
            </w:r>
            <w:r w:rsidRPr="008602E0">
              <w:rPr>
                <w:rFonts w:ascii="Verdana" w:hAnsi="Verdana" w:cs="Arial"/>
                <w:color w:val="222222"/>
                <w:sz w:val="18"/>
                <w:szCs w:val="18"/>
                <w:shd w:val="clear" w:color="auto" w:fill="FFFFFF"/>
              </w:rPr>
              <w:t xml:space="preserve">command </w:t>
            </w:r>
            <w:r w:rsidRPr="008602E0">
              <w:rPr>
                <w:rFonts w:ascii="Verdana" w:hAnsi="Verdana" w:cs="Arial"/>
                <w:color w:val="222222"/>
                <w:sz w:val="18"/>
                <w:szCs w:val="18"/>
                <w:highlight w:val="yellow"/>
                <w:shd w:val="clear" w:color="auto" w:fill="FFFFFF"/>
              </w:rPr>
              <w:t xml:space="preserve">violation counter </w:t>
            </w:r>
            <w:r w:rsidRPr="008602E0">
              <w:rPr>
                <w:rFonts w:ascii="Verdana" w:hAnsi="Verdana"/>
                <w:color w:val="000000"/>
                <w:sz w:val="18"/>
                <w:szCs w:val="18"/>
                <w:highlight w:val="yellow"/>
              </w:rPr>
              <w:t>can increase while in the secure-down port state</w:t>
            </w:r>
            <w:r w:rsidRPr="008602E0">
              <w:rPr>
                <w:rFonts w:ascii="Verdana" w:hAnsi="Verdana"/>
                <w:color w:val="000000"/>
                <w:sz w:val="18"/>
                <w:szCs w:val="18"/>
              </w:rPr>
              <w:t>.</w:t>
            </w:r>
            <w:r>
              <w:rPr>
                <w:rFonts w:ascii="Verdana" w:hAnsi="Verdana"/>
                <w:color w:val="000000"/>
                <w:sz w:val="18"/>
                <w:szCs w:val="18"/>
              </w:rPr>
              <w:t>”</w:t>
            </w:r>
          </w:p>
          <w:p w14:paraId="6A5E10A8" w14:textId="111C11E2" w:rsidR="008602E0" w:rsidRDefault="008602E0" w:rsidP="00A53AD3">
            <w:pPr>
              <w:spacing w:after="120"/>
              <w:rPr>
                <w:rFonts w:ascii="Verdana" w:hAnsi="Verdana" w:cs="Arial"/>
                <w:color w:val="222222"/>
                <w:sz w:val="18"/>
                <w:szCs w:val="18"/>
                <w:shd w:val="clear" w:color="auto" w:fill="FFFFFF"/>
              </w:rPr>
            </w:pPr>
          </w:p>
        </w:tc>
      </w:tr>
      <w:tr w:rsidR="000B177E" w14:paraId="10757F25" w14:textId="77777777" w:rsidTr="00543BA3">
        <w:tc>
          <w:tcPr>
            <w:tcW w:w="653" w:type="dxa"/>
          </w:tcPr>
          <w:p w14:paraId="35C3F251" w14:textId="77777777" w:rsidR="000B177E" w:rsidRDefault="000B177E" w:rsidP="00F630F5">
            <w:pPr>
              <w:spacing w:after="120"/>
              <w:rPr>
                <w:rFonts w:ascii="Verdana" w:hAnsi="Verdana" w:cs="Courier New"/>
                <w:sz w:val="18"/>
                <w:szCs w:val="20"/>
              </w:rPr>
            </w:pPr>
            <w:r>
              <w:rPr>
                <w:rFonts w:ascii="Verdana" w:hAnsi="Verdana" w:cs="Courier New"/>
                <w:sz w:val="18"/>
                <w:szCs w:val="20"/>
              </w:rPr>
              <w:t>115</w:t>
            </w:r>
          </w:p>
        </w:tc>
        <w:tc>
          <w:tcPr>
            <w:tcW w:w="715" w:type="dxa"/>
          </w:tcPr>
          <w:p w14:paraId="3933EB76"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17DCE623"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D05F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bullet in 3-bullet list – mentions “secure-down” state – s/b “secure-shutdown”.</w:t>
            </w:r>
          </w:p>
        </w:tc>
      </w:tr>
      <w:tr w:rsidR="000B177E" w14:paraId="30A9E689" w14:textId="77777777" w:rsidTr="00543BA3">
        <w:tc>
          <w:tcPr>
            <w:tcW w:w="653" w:type="dxa"/>
          </w:tcPr>
          <w:p w14:paraId="069B6B49" w14:textId="77777777" w:rsidR="000B177E" w:rsidRDefault="000B177E" w:rsidP="00F630F5">
            <w:pPr>
              <w:spacing w:after="120"/>
              <w:rPr>
                <w:rFonts w:ascii="Verdana" w:hAnsi="Verdana" w:cs="Courier New"/>
                <w:sz w:val="18"/>
                <w:szCs w:val="20"/>
              </w:rPr>
            </w:pPr>
            <w:r>
              <w:rPr>
                <w:rFonts w:ascii="Verdana" w:hAnsi="Verdana" w:cs="Courier New"/>
                <w:sz w:val="18"/>
                <w:szCs w:val="20"/>
              </w:rPr>
              <w:t>116</w:t>
            </w:r>
          </w:p>
        </w:tc>
        <w:tc>
          <w:tcPr>
            <w:tcW w:w="715" w:type="dxa"/>
          </w:tcPr>
          <w:p w14:paraId="136F95E1"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3AD5A1B8"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6-6 – 3rd line – replace”d48c.b57d.8200” with “0200.3333.3333”.</w:t>
            </w:r>
          </w:p>
        </w:tc>
      </w:tr>
      <w:tr w:rsidR="000B177E" w14:paraId="170E3593" w14:textId="77777777" w:rsidTr="00543BA3">
        <w:tc>
          <w:tcPr>
            <w:tcW w:w="653" w:type="dxa"/>
          </w:tcPr>
          <w:p w14:paraId="00FDF5AF" w14:textId="77777777" w:rsidR="000B177E" w:rsidRDefault="000B177E" w:rsidP="00F630F5">
            <w:pPr>
              <w:spacing w:after="120"/>
              <w:rPr>
                <w:rFonts w:ascii="Verdana" w:hAnsi="Verdana" w:cs="Courier New"/>
                <w:sz w:val="18"/>
                <w:szCs w:val="20"/>
              </w:rPr>
            </w:pPr>
            <w:r>
              <w:rPr>
                <w:rFonts w:ascii="Verdana" w:hAnsi="Verdana" w:cs="Courier New"/>
                <w:sz w:val="18"/>
                <w:szCs w:val="20"/>
              </w:rPr>
              <w:t>117</w:t>
            </w:r>
          </w:p>
        </w:tc>
        <w:tc>
          <w:tcPr>
            <w:tcW w:w="715" w:type="dxa"/>
          </w:tcPr>
          <w:p w14:paraId="29C6DADF"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CC75B81"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under Figure 6-3 – final sentence, which begins “Later, after...”, replace the entire sentence with: “IOS will reset the counter to 0 when you recover the interface using a </w:t>
            </w:r>
            <w:r w:rsidRPr="008434B6">
              <w:rPr>
                <w:rFonts w:ascii="Verdana" w:hAnsi="Verdana" w:cs="Arial"/>
                <w:b/>
                <w:bCs/>
                <w:color w:val="222222"/>
                <w:sz w:val="18"/>
                <w:szCs w:val="18"/>
                <w:shd w:val="clear" w:color="auto" w:fill="FFFFFF"/>
              </w:rPr>
              <w:t>shutdown</w:t>
            </w:r>
            <w:r>
              <w:rPr>
                <w:rFonts w:ascii="Verdana" w:hAnsi="Verdana" w:cs="Arial"/>
                <w:color w:val="222222"/>
                <w:sz w:val="18"/>
                <w:szCs w:val="18"/>
                <w:shd w:val="clear" w:color="auto" w:fill="FFFFFF"/>
              </w:rPr>
              <w:t>/</w:t>
            </w:r>
            <w:r w:rsidRPr="008434B6">
              <w:rPr>
                <w:rFonts w:ascii="Verdana" w:hAnsi="Verdana" w:cs="Arial"/>
                <w:b/>
                <w:bCs/>
                <w:color w:val="222222"/>
                <w:sz w:val="18"/>
                <w:szCs w:val="18"/>
                <w:shd w:val="clear" w:color="auto" w:fill="FFFFFF"/>
              </w:rPr>
              <w:t>no shutdown</w:t>
            </w:r>
            <w:r>
              <w:rPr>
                <w:rFonts w:ascii="Verdana" w:hAnsi="Verdana" w:cs="Arial"/>
                <w:color w:val="222222"/>
                <w:sz w:val="18"/>
                <w:szCs w:val="18"/>
                <w:shd w:val="clear" w:color="auto" w:fill="FFFFFF"/>
              </w:rPr>
              <w:t xml:space="preserve"> command combination, so that the next violation will cause the counter to increment to 1.” </w:t>
            </w:r>
          </w:p>
        </w:tc>
      </w:tr>
      <w:tr w:rsidR="000B177E" w14:paraId="10C2FB38" w14:textId="77777777" w:rsidTr="00543BA3">
        <w:tc>
          <w:tcPr>
            <w:tcW w:w="653" w:type="dxa"/>
          </w:tcPr>
          <w:p w14:paraId="172A1222" w14:textId="77777777" w:rsidR="000B177E" w:rsidRDefault="000B177E" w:rsidP="00F630F5">
            <w:pPr>
              <w:spacing w:after="120"/>
              <w:rPr>
                <w:rFonts w:ascii="Verdana" w:hAnsi="Verdana" w:cs="Courier New"/>
                <w:sz w:val="18"/>
                <w:szCs w:val="20"/>
              </w:rPr>
            </w:pPr>
            <w:r>
              <w:rPr>
                <w:rFonts w:ascii="Verdana" w:hAnsi="Verdana" w:cs="Courier New"/>
                <w:sz w:val="18"/>
                <w:szCs w:val="20"/>
              </w:rPr>
              <w:t>157</w:t>
            </w:r>
          </w:p>
        </w:tc>
        <w:tc>
          <w:tcPr>
            <w:tcW w:w="715" w:type="dxa"/>
          </w:tcPr>
          <w:p w14:paraId="44067200"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6504710"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Just above heading “Gratuitous ARP...” – “PC2 likewise...” – change </w:t>
            </w:r>
            <w:r w:rsidRPr="00A9214F">
              <w:rPr>
                <w:rFonts w:ascii="Verdana" w:hAnsi="Verdana" w:cs="Arial"/>
                <w:color w:val="222222"/>
                <w:sz w:val="18"/>
                <w:szCs w:val="18"/>
                <w:highlight w:val="yellow"/>
                <w:shd w:val="clear" w:color="auto" w:fill="FFFFFF"/>
              </w:rPr>
              <w:t>PC2</w:t>
            </w:r>
            <w:r>
              <w:rPr>
                <w:rFonts w:ascii="Verdana" w:hAnsi="Verdana" w:cs="Arial"/>
                <w:color w:val="222222"/>
                <w:sz w:val="18"/>
                <w:szCs w:val="18"/>
                <w:shd w:val="clear" w:color="auto" w:fill="FFFFFF"/>
              </w:rPr>
              <w:t xml:space="preserve"> to </w:t>
            </w:r>
            <w:r w:rsidRPr="00A9214F">
              <w:rPr>
                <w:rFonts w:ascii="Verdana" w:hAnsi="Verdana" w:cs="Arial"/>
                <w:color w:val="222222"/>
                <w:sz w:val="18"/>
                <w:szCs w:val="18"/>
                <w:highlight w:val="yellow"/>
                <w:shd w:val="clear" w:color="auto" w:fill="FFFFFF"/>
              </w:rPr>
              <w:t>PC1</w:t>
            </w:r>
            <w:r>
              <w:rPr>
                <w:rFonts w:ascii="Verdana" w:hAnsi="Verdana" w:cs="Arial"/>
                <w:color w:val="222222"/>
                <w:sz w:val="18"/>
                <w:szCs w:val="18"/>
                <w:shd w:val="clear" w:color="auto" w:fill="FFFFFF"/>
              </w:rPr>
              <w:t xml:space="preserve">. </w:t>
            </w:r>
          </w:p>
        </w:tc>
      </w:tr>
      <w:tr w:rsidR="000B177E" w14:paraId="43CBE42D" w14:textId="77777777" w:rsidTr="00543BA3">
        <w:tc>
          <w:tcPr>
            <w:tcW w:w="653" w:type="dxa"/>
          </w:tcPr>
          <w:p w14:paraId="232C54FC" w14:textId="77777777" w:rsidR="000B177E" w:rsidRDefault="000B177E" w:rsidP="00F630F5">
            <w:pPr>
              <w:spacing w:after="120"/>
              <w:rPr>
                <w:rFonts w:ascii="Verdana" w:hAnsi="Verdana" w:cs="Courier New"/>
                <w:sz w:val="18"/>
                <w:szCs w:val="20"/>
              </w:rPr>
            </w:pPr>
            <w:r>
              <w:rPr>
                <w:rFonts w:ascii="Verdana" w:hAnsi="Verdana" w:cs="Courier New"/>
                <w:sz w:val="18"/>
                <w:szCs w:val="20"/>
              </w:rPr>
              <w:t>174</w:t>
            </w:r>
          </w:p>
        </w:tc>
        <w:tc>
          <w:tcPr>
            <w:tcW w:w="715" w:type="dxa"/>
          </w:tcPr>
          <w:p w14:paraId="76C4FF84"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E8B5F17"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DIKTA Question 6 – replace “...model of hardware?” with “...enabled capabilities?”. </w:t>
            </w:r>
          </w:p>
        </w:tc>
      </w:tr>
      <w:tr w:rsidR="000B177E" w14:paraId="6C9333C7" w14:textId="77777777" w:rsidTr="00543BA3">
        <w:tc>
          <w:tcPr>
            <w:tcW w:w="653" w:type="dxa"/>
          </w:tcPr>
          <w:p w14:paraId="7FFD5EB2" w14:textId="77777777" w:rsidR="000B177E" w:rsidRDefault="000B177E" w:rsidP="00F630F5">
            <w:pPr>
              <w:spacing w:after="120"/>
              <w:rPr>
                <w:rFonts w:ascii="Verdana" w:hAnsi="Verdana" w:cs="Courier New"/>
                <w:sz w:val="18"/>
                <w:szCs w:val="20"/>
              </w:rPr>
            </w:pPr>
            <w:r>
              <w:rPr>
                <w:rFonts w:ascii="Verdana" w:hAnsi="Verdana" w:cs="Courier New"/>
                <w:sz w:val="18"/>
                <w:szCs w:val="20"/>
              </w:rPr>
              <w:lastRenderedPageBreak/>
              <w:t>191</w:t>
            </w:r>
          </w:p>
        </w:tc>
        <w:tc>
          <w:tcPr>
            <w:tcW w:w="715" w:type="dxa"/>
          </w:tcPr>
          <w:p w14:paraId="3626D664"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AFB7A65"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under the example – 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reference to SW2’s interface should be G1/0/21, and reference to SW1’s interface should be G1/0/24.</w:t>
            </w:r>
          </w:p>
        </w:tc>
      </w:tr>
      <w:tr w:rsidR="000B177E" w14:paraId="0E2A36E4" w14:textId="77777777" w:rsidTr="00543BA3">
        <w:tc>
          <w:tcPr>
            <w:tcW w:w="653" w:type="dxa"/>
          </w:tcPr>
          <w:p w14:paraId="6636573F" w14:textId="77777777" w:rsidR="000B177E" w:rsidRDefault="000B177E" w:rsidP="00F630F5">
            <w:pPr>
              <w:spacing w:after="120"/>
              <w:rPr>
                <w:rFonts w:ascii="Verdana" w:hAnsi="Verdana" w:cs="Courier New"/>
                <w:sz w:val="18"/>
                <w:szCs w:val="20"/>
              </w:rPr>
            </w:pPr>
            <w:r>
              <w:rPr>
                <w:rFonts w:ascii="Verdana" w:hAnsi="Verdana" w:cs="Courier New"/>
                <w:sz w:val="18"/>
                <w:szCs w:val="20"/>
              </w:rPr>
              <w:t>272</w:t>
            </w:r>
          </w:p>
        </w:tc>
        <w:tc>
          <w:tcPr>
            <w:tcW w:w="715" w:type="dxa"/>
          </w:tcPr>
          <w:p w14:paraId="4DBDF2C3"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B170BBE"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 2</w:t>
            </w:r>
            <w:r w:rsidRPr="00511333">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strike sentence “Note that the IOS file is about 104 MB.” In the next line, expand “...IOS file...” to “...final IOS file in the output...”</w:t>
            </w:r>
          </w:p>
        </w:tc>
      </w:tr>
      <w:tr w:rsidR="000B177E" w14:paraId="47C23249" w14:textId="77777777" w:rsidTr="00543BA3">
        <w:tc>
          <w:tcPr>
            <w:tcW w:w="653" w:type="dxa"/>
          </w:tcPr>
          <w:p w14:paraId="04888B85" w14:textId="77777777" w:rsidR="000B177E" w:rsidRDefault="000B177E" w:rsidP="00F630F5">
            <w:pPr>
              <w:spacing w:after="120"/>
              <w:rPr>
                <w:rFonts w:ascii="Verdana" w:hAnsi="Verdana" w:cs="Courier New"/>
                <w:sz w:val="18"/>
                <w:szCs w:val="20"/>
              </w:rPr>
            </w:pPr>
            <w:r>
              <w:rPr>
                <w:rFonts w:ascii="Verdana" w:hAnsi="Verdana" w:cs="Courier New"/>
                <w:sz w:val="18"/>
                <w:szCs w:val="20"/>
              </w:rPr>
              <w:t>304</w:t>
            </w:r>
          </w:p>
        </w:tc>
        <w:tc>
          <w:tcPr>
            <w:tcW w:w="715" w:type="dxa"/>
          </w:tcPr>
          <w:p w14:paraId="055D13C2"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5ECBB3EB"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14 Quiz question 6 asks about MPLS VPNs and OSPF areas, which is a topic removed from the chapter for this edition. If you care to read more about the topic, look to Appendix D for heading “MPLS VPNs” – a topic that does provide the necessary detail. Note that we will replace the question in future printings, and have already replaced it in the online PTP QA app.</w:t>
            </w:r>
          </w:p>
        </w:tc>
      </w:tr>
      <w:tr w:rsidR="000B177E" w14:paraId="01EC9EFC" w14:textId="77777777" w:rsidTr="00543BA3">
        <w:tc>
          <w:tcPr>
            <w:tcW w:w="653" w:type="dxa"/>
          </w:tcPr>
          <w:p w14:paraId="000FF44A" w14:textId="77777777" w:rsidR="000B177E" w:rsidRDefault="000B177E" w:rsidP="00344B23">
            <w:pPr>
              <w:spacing w:after="120"/>
              <w:rPr>
                <w:rFonts w:ascii="Verdana" w:hAnsi="Verdana" w:cs="Courier New"/>
                <w:sz w:val="18"/>
                <w:szCs w:val="20"/>
              </w:rPr>
            </w:pPr>
            <w:r>
              <w:rPr>
                <w:rFonts w:ascii="Verdana" w:hAnsi="Verdana" w:cs="Courier New"/>
                <w:sz w:val="18"/>
                <w:szCs w:val="20"/>
              </w:rPr>
              <w:t>357</w:t>
            </w:r>
          </w:p>
        </w:tc>
        <w:tc>
          <w:tcPr>
            <w:tcW w:w="715" w:type="dxa"/>
          </w:tcPr>
          <w:p w14:paraId="7F1B5F38" w14:textId="77777777" w:rsidR="000B177E" w:rsidRDefault="000B177E" w:rsidP="00344B23">
            <w:pPr>
              <w:spacing w:after="120"/>
              <w:rPr>
                <w:rFonts w:ascii="Verdana" w:hAnsi="Verdana" w:cs="Courier New"/>
                <w:sz w:val="18"/>
                <w:szCs w:val="20"/>
              </w:rPr>
            </w:pPr>
            <w:r>
              <w:rPr>
                <w:rFonts w:ascii="Verdana" w:hAnsi="Verdana" w:cs="Courier New"/>
                <w:sz w:val="18"/>
                <w:szCs w:val="20"/>
              </w:rPr>
              <w:t>2</w:t>
            </w:r>
          </w:p>
        </w:tc>
        <w:tc>
          <w:tcPr>
            <w:tcW w:w="8010" w:type="dxa"/>
          </w:tcPr>
          <w:p w14:paraId="5820EB38" w14:textId="77777777" w:rsidR="000B177E" w:rsidRDefault="000B177E" w:rsidP="00344B2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2 – last word in the question should be “router” instead of “switch”.</w:t>
            </w:r>
          </w:p>
        </w:tc>
      </w:tr>
      <w:tr w:rsidR="000B177E" w14:paraId="2DA53439" w14:textId="77777777" w:rsidTr="00543BA3">
        <w:tc>
          <w:tcPr>
            <w:tcW w:w="653" w:type="dxa"/>
          </w:tcPr>
          <w:p w14:paraId="6D9BE2A4" w14:textId="77777777" w:rsidR="000B177E" w:rsidRDefault="000B177E" w:rsidP="00F630F5">
            <w:pPr>
              <w:spacing w:after="120"/>
              <w:rPr>
                <w:rFonts w:ascii="Verdana" w:hAnsi="Verdana" w:cs="Courier New"/>
                <w:sz w:val="18"/>
                <w:szCs w:val="20"/>
              </w:rPr>
            </w:pPr>
            <w:r>
              <w:rPr>
                <w:rFonts w:ascii="Verdana" w:hAnsi="Verdana" w:cs="Courier New"/>
                <w:sz w:val="18"/>
                <w:szCs w:val="20"/>
              </w:rPr>
              <w:t>407</w:t>
            </w:r>
          </w:p>
        </w:tc>
        <w:tc>
          <w:tcPr>
            <w:tcW w:w="715" w:type="dxa"/>
          </w:tcPr>
          <w:p w14:paraId="10529728"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B7DA163"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18, Question 1 – Answer C - the term “Classful” s/b “Stateful”.</w:t>
            </w:r>
          </w:p>
        </w:tc>
      </w:tr>
      <w:tr w:rsidR="008602E0" w14:paraId="6180FF73" w14:textId="77777777" w:rsidTr="00543BA3">
        <w:tc>
          <w:tcPr>
            <w:tcW w:w="653" w:type="dxa"/>
          </w:tcPr>
          <w:p w14:paraId="2D1C96E9" w14:textId="0DE7CA47" w:rsidR="008602E0" w:rsidRDefault="008602E0" w:rsidP="00F630F5">
            <w:pPr>
              <w:spacing w:after="120"/>
              <w:rPr>
                <w:rFonts w:ascii="Verdana" w:hAnsi="Verdana" w:cs="Courier New"/>
                <w:sz w:val="18"/>
                <w:szCs w:val="20"/>
              </w:rPr>
            </w:pPr>
            <w:r>
              <w:rPr>
                <w:rFonts w:ascii="Verdana" w:hAnsi="Verdana" w:cs="Courier New"/>
                <w:sz w:val="18"/>
                <w:szCs w:val="20"/>
              </w:rPr>
              <w:t>482</w:t>
            </w:r>
          </w:p>
        </w:tc>
        <w:tc>
          <w:tcPr>
            <w:tcW w:w="715" w:type="dxa"/>
          </w:tcPr>
          <w:p w14:paraId="3CD63D8A" w14:textId="1047B8AC" w:rsidR="008602E0" w:rsidRDefault="008602E0"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203A942" w14:textId="3AEECBD2" w:rsidR="008602E0" w:rsidRDefault="008602E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6, Question 4 – delete </w:t>
            </w:r>
            <w:r w:rsidR="00797742">
              <w:rPr>
                <w:rFonts w:ascii="Verdana" w:hAnsi="Verdana" w:cs="Arial"/>
                <w:color w:val="222222"/>
                <w:sz w:val="18"/>
                <w:szCs w:val="18"/>
                <w:shd w:val="clear" w:color="auto" w:fill="FFFFFF"/>
              </w:rPr>
              <w:t>from</w:t>
            </w:r>
            <w:r>
              <w:rPr>
                <w:rFonts w:ascii="Verdana" w:hAnsi="Verdana" w:cs="Arial"/>
                <w:color w:val="222222"/>
                <w:sz w:val="18"/>
                <w:szCs w:val="18"/>
                <w:shd w:val="clear" w:color="auto" w:fill="FFFFFF"/>
              </w:rPr>
              <w:t xml:space="preserve"> “and it resets to 0...”</w:t>
            </w:r>
            <w:r w:rsidR="00797742">
              <w:rPr>
                <w:rFonts w:ascii="Verdana" w:hAnsi="Verdana" w:cs="Arial"/>
                <w:color w:val="222222"/>
                <w:sz w:val="18"/>
                <w:szCs w:val="18"/>
                <w:shd w:val="clear" w:color="auto" w:fill="FFFFFF"/>
              </w:rPr>
              <w:t xml:space="preserve"> to the end of the sentence.</w:t>
            </w:r>
          </w:p>
        </w:tc>
      </w:tr>
      <w:tr w:rsidR="000B177E" w14:paraId="3A280E69" w14:textId="77777777" w:rsidTr="00543BA3">
        <w:tc>
          <w:tcPr>
            <w:tcW w:w="653" w:type="dxa"/>
          </w:tcPr>
          <w:p w14:paraId="35D13FB5" w14:textId="77777777" w:rsidR="000B177E" w:rsidRDefault="000B177E" w:rsidP="00F630F5">
            <w:pPr>
              <w:spacing w:after="120"/>
              <w:rPr>
                <w:rFonts w:ascii="Verdana" w:hAnsi="Verdana" w:cs="Courier New"/>
                <w:sz w:val="18"/>
                <w:szCs w:val="20"/>
              </w:rPr>
            </w:pPr>
            <w:r>
              <w:rPr>
                <w:rFonts w:ascii="Verdana" w:hAnsi="Verdana" w:cs="Courier New"/>
                <w:sz w:val="18"/>
                <w:szCs w:val="20"/>
              </w:rPr>
              <w:t>485</w:t>
            </w:r>
          </w:p>
        </w:tc>
        <w:tc>
          <w:tcPr>
            <w:tcW w:w="715" w:type="dxa"/>
          </w:tcPr>
          <w:p w14:paraId="3785C3CB"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21B50FB3"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9 question 6, explanation. Replace the entire explanation with: “E and F. LLDP lists the neighbors enabled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neighbors</w:t>
            </w:r>
            <w:r>
              <w:rPr>
                <w:rFonts w:ascii="Verdana" w:hAnsi="Verdana" w:cs="Arial"/>
                <w:color w:val="222222"/>
                <w:sz w:val="18"/>
                <w:szCs w:val="18"/>
                <w:shd w:val="clear" w:color="auto" w:fill="FFFFFF"/>
              </w:rPr>
              <w:t xml:space="preserve"> command, and both the enabled and possible (system)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entry</w:t>
            </w:r>
            <w:r>
              <w:rPr>
                <w:rFonts w:ascii="Verdana" w:hAnsi="Verdana" w:cs="Arial"/>
                <w:color w:val="222222"/>
                <w:sz w:val="18"/>
                <w:szCs w:val="18"/>
                <w:shd w:val="clear" w:color="auto" w:fill="FFFFFF"/>
              </w:rPr>
              <w:t xml:space="preserve"> </w:t>
            </w:r>
            <w:r w:rsidRPr="00BC7503">
              <w:rPr>
                <w:rFonts w:ascii="Verdana" w:hAnsi="Verdana" w:cs="Arial"/>
                <w:i/>
                <w:iCs/>
                <w:color w:val="222222"/>
                <w:sz w:val="18"/>
                <w:szCs w:val="18"/>
                <w:shd w:val="clear" w:color="auto" w:fill="FFFFFF"/>
              </w:rPr>
              <w:t>hostname</w:t>
            </w:r>
            <w:r>
              <w:rPr>
                <w:rFonts w:ascii="Verdana" w:hAnsi="Verdana" w:cs="Arial"/>
                <w:color w:val="222222"/>
                <w:sz w:val="18"/>
                <w:szCs w:val="18"/>
                <w:shd w:val="clear" w:color="auto" w:fill="FFFFFF"/>
              </w:rPr>
              <w:t xml:space="preserve"> command.”</w:t>
            </w:r>
          </w:p>
        </w:tc>
      </w:tr>
      <w:tr w:rsidR="000B177E" w14:paraId="72449FF6" w14:textId="77777777" w:rsidTr="00543BA3">
        <w:tc>
          <w:tcPr>
            <w:tcW w:w="653" w:type="dxa"/>
          </w:tcPr>
          <w:p w14:paraId="2DBD9774" w14:textId="77777777" w:rsidR="000B177E" w:rsidRDefault="000B177E" w:rsidP="00F630F5">
            <w:pPr>
              <w:spacing w:after="120"/>
              <w:rPr>
                <w:rFonts w:ascii="Verdana" w:hAnsi="Verdana" w:cs="Courier New"/>
                <w:sz w:val="18"/>
                <w:szCs w:val="20"/>
              </w:rPr>
            </w:pPr>
            <w:r>
              <w:rPr>
                <w:rFonts w:ascii="Verdana" w:hAnsi="Verdana" w:cs="Courier New"/>
                <w:sz w:val="18"/>
                <w:szCs w:val="20"/>
              </w:rPr>
              <w:t>492</w:t>
            </w:r>
          </w:p>
        </w:tc>
        <w:tc>
          <w:tcPr>
            <w:tcW w:w="715" w:type="dxa"/>
          </w:tcPr>
          <w:p w14:paraId="5D6817A7" w14:textId="77777777" w:rsidR="000B177E" w:rsidRDefault="000B177E"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7D604BB0" w14:textId="77777777" w:rsidR="000B177E" w:rsidRDefault="000B177E"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18, Question 1 – the term “classful” s/b “stateful”. </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02947" w14:textId="77777777" w:rsidR="0019107E" w:rsidRDefault="0019107E">
      <w:r>
        <w:separator/>
      </w:r>
    </w:p>
  </w:endnote>
  <w:endnote w:type="continuationSeparator" w:id="0">
    <w:p w14:paraId="316E913F" w14:textId="77777777" w:rsidR="0019107E" w:rsidRDefault="0019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585E" w14:textId="4476EC0C" w:rsidR="00D01EDD" w:rsidRDefault="00D01EDD" w:rsidP="0057126E">
    <w:pPr>
      <w:pStyle w:val="Footer"/>
      <w:jc w:val="center"/>
    </w:pPr>
    <w:r>
      <w:t xml:space="preserve">Cisco Press </w:t>
    </w:r>
    <w:r w:rsidR="008E436D">
      <w:t xml:space="preserve">CCNA 200-301 </w:t>
    </w:r>
    <w:r>
      <w:t>Official Cert Guide</w:t>
    </w:r>
    <w:r w:rsidR="008E436D">
      <w:t xml:space="preserve">, Volume </w:t>
    </w:r>
    <w:r w:rsidR="00DE19D8">
      <w:t>2</w:t>
    </w:r>
    <w:r>
      <w:t xml:space="preserve"> – Errata</w:t>
    </w:r>
  </w:p>
  <w:p w14:paraId="4C95527C" w14:textId="75588886" w:rsidR="00C96F1F" w:rsidRDefault="00D01EDD" w:rsidP="00D72C3F">
    <w:pPr>
      <w:pStyle w:val="Footer"/>
      <w:jc w:val="center"/>
    </w:pPr>
    <w:r>
      <w:t xml:space="preserve">Last Update: </w:t>
    </w:r>
    <w:r w:rsidR="006A1980">
      <w:t xml:space="preserve">May </w:t>
    </w:r>
    <w:r w:rsidR="006D6A37">
      <w:t>27</w:t>
    </w:r>
    <w:r w:rsidR="008602E0" w:rsidRPr="008602E0">
      <w:rPr>
        <w:vertAlign w:val="superscript"/>
      </w:rPr>
      <w:t>th</w:t>
    </w:r>
    <w:r w:rsidR="0097693B">
      <w:t xml:space="preserve">, </w:t>
    </w:r>
    <w:r w:rsidR="008D7FCE">
      <w:t>202</w:t>
    </w:r>
    <w:r w:rsidR="00103FC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7C7D1" w14:textId="77777777" w:rsidR="0019107E" w:rsidRDefault="0019107E">
      <w:r>
        <w:separator/>
      </w:r>
    </w:p>
  </w:footnote>
  <w:footnote w:type="continuationSeparator" w:id="0">
    <w:p w14:paraId="642D8644" w14:textId="77777777" w:rsidR="0019107E" w:rsidRDefault="0019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06D11"/>
    <w:rsid w:val="00021201"/>
    <w:rsid w:val="000218E9"/>
    <w:rsid w:val="00021B64"/>
    <w:rsid w:val="00023B21"/>
    <w:rsid w:val="000301C6"/>
    <w:rsid w:val="00032D7A"/>
    <w:rsid w:val="00043DD4"/>
    <w:rsid w:val="00050854"/>
    <w:rsid w:val="00060628"/>
    <w:rsid w:val="00066094"/>
    <w:rsid w:val="00073CB0"/>
    <w:rsid w:val="000801FD"/>
    <w:rsid w:val="00083EB6"/>
    <w:rsid w:val="0008554E"/>
    <w:rsid w:val="00087B53"/>
    <w:rsid w:val="00090F7B"/>
    <w:rsid w:val="000B0228"/>
    <w:rsid w:val="000B177E"/>
    <w:rsid w:val="000B77C1"/>
    <w:rsid w:val="000C25AD"/>
    <w:rsid w:val="000D5D2B"/>
    <w:rsid w:val="000E0B3E"/>
    <w:rsid w:val="000E1814"/>
    <w:rsid w:val="000F17D3"/>
    <w:rsid w:val="000F2A4A"/>
    <w:rsid w:val="000F3776"/>
    <w:rsid w:val="00101C6D"/>
    <w:rsid w:val="00103FCE"/>
    <w:rsid w:val="001044BB"/>
    <w:rsid w:val="001117CD"/>
    <w:rsid w:val="0011204C"/>
    <w:rsid w:val="0012059F"/>
    <w:rsid w:val="001227E0"/>
    <w:rsid w:val="00135147"/>
    <w:rsid w:val="0013543E"/>
    <w:rsid w:val="00135ED9"/>
    <w:rsid w:val="00140E05"/>
    <w:rsid w:val="00140E35"/>
    <w:rsid w:val="0014653C"/>
    <w:rsid w:val="00153090"/>
    <w:rsid w:val="00157F25"/>
    <w:rsid w:val="00174EA7"/>
    <w:rsid w:val="00176F98"/>
    <w:rsid w:val="0018768E"/>
    <w:rsid w:val="00187A93"/>
    <w:rsid w:val="00187E0D"/>
    <w:rsid w:val="0019107E"/>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F37CC"/>
    <w:rsid w:val="002004F1"/>
    <w:rsid w:val="00200D5A"/>
    <w:rsid w:val="002069DA"/>
    <w:rsid w:val="00206D57"/>
    <w:rsid w:val="00207705"/>
    <w:rsid w:val="002125EC"/>
    <w:rsid w:val="002148E8"/>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5196"/>
    <w:rsid w:val="00265638"/>
    <w:rsid w:val="00265D75"/>
    <w:rsid w:val="0027235D"/>
    <w:rsid w:val="00273D68"/>
    <w:rsid w:val="0028032F"/>
    <w:rsid w:val="00281025"/>
    <w:rsid w:val="00281837"/>
    <w:rsid w:val="00281900"/>
    <w:rsid w:val="0029163D"/>
    <w:rsid w:val="0029275E"/>
    <w:rsid w:val="00295BFE"/>
    <w:rsid w:val="00295E6A"/>
    <w:rsid w:val="002A1074"/>
    <w:rsid w:val="002A1A34"/>
    <w:rsid w:val="002B5A27"/>
    <w:rsid w:val="002C105E"/>
    <w:rsid w:val="002C575B"/>
    <w:rsid w:val="002C7369"/>
    <w:rsid w:val="002D315F"/>
    <w:rsid w:val="002D7BE3"/>
    <w:rsid w:val="002E2C31"/>
    <w:rsid w:val="002F1D08"/>
    <w:rsid w:val="002F38DE"/>
    <w:rsid w:val="002F6547"/>
    <w:rsid w:val="00300DE9"/>
    <w:rsid w:val="00303DCC"/>
    <w:rsid w:val="00307713"/>
    <w:rsid w:val="0031403E"/>
    <w:rsid w:val="00325128"/>
    <w:rsid w:val="00325C9A"/>
    <w:rsid w:val="00344819"/>
    <w:rsid w:val="00344B23"/>
    <w:rsid w:val="0034739F"/>
    <w:rsid w:val="003505F7"/>
    <w:rsid w:val="00352938"/>
    <w:rsid w:val="00357204"/>
    <w:rsid w:val="00357773"/>
    <w:rsid w:val="00364D1C"/>
    <w:rsid w:val="00364D61"/>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51B"/>
    <w:rsid w:val="003C7A82"/>
    <w:rsid w:val="003D1C7E"/>
    <w:rsid w:val="003E1471"/>
    <w:rsid w:val="003E33AE"/>
    <w:rsid w:val="003E554E"/>
    <w:rsid w:val="003E5BC6"/>
    <w:rsid w:val="003E6D69"/>
    <w:rsid w:val="003F16C7"/>
    <w:rsid w:val="003F2AFC"/>
    <w:rsid w:val="003F33A6"/>
    <w:rsid w:val="003F4ECC"/>
    <w:rsid w:val="00400A0D"/>
    <w:rsid w:val="00404935"/>
    <w:rsid w:val="00411560"/>
    <w:rsid w:val="00415CE1"/>
    <w:rsid w:val="00417737"/>
    <w:rsid w:val="004206B7"/>
    <w:rsid w:val="00420862"/>
    <w:rsid w:val="0043481A"/>
    <w:rsid w:val="004422B3"/>
    <w:rsid w:val="0045048F"/>
    <w:rsid w:val="00456EE9"/>
    <w:rsid w:val="00467828"/>
    <w:rsid w:val="0047421A"/>
    <w:rsid w:val="004811BF"/>
    <w:rsid w:val="0048401C"/>
    <w:rsid w:val="004861FB"/>
    <w:rsid w:val="00492EC0"/>
    <w:rsid w:val="00494D25"/>
    <w:rsid w:val="00495D0F"/>
    <w:rsid w:val="004A1D8A"/>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11333"/>
    <w:rsid w:val="00513746"/>
    <w:rsid w:val="00520DB9"/>
    <w:rsid w:val="0052144E"/>
    <w:rsid w:val="00534982"/>
    <w:rsid w:val="005349C9"/>
    <w:rsid w:val="00536514"/>
    <w:rsid w:val="005424D1"/>
    <w:rsid w:val="00543BA3"/>
    <w:rsid w:val="0055574E"/>
    <w:rsid w:val="005568F9"/>
    <w:rsid w:val="00556C58"/>
    <w:rsid w:val="0056004F"/>
    <w:rsid w:val="00562588"/>
    <w:rsid w:val="00564307"/>
    <w:rsid w:val="00564388"/>
    <w:rsid w:val="00564518"/>
    <w:rsid w:val="005663B0"/>
    <w:rsid w:val="00567E13"/>
    <w:rsid w:val="0057126E"/>
    <w:rsid w:val="00580ED7"/>
    <w:rsid w:val="00581294"/>
    <w:rsid w:val="0058377B"/>
    <w:rsid w:val="005870CE"/>
    <w:rsid w:val="005926C0"/>
    <w:rsid w:val="00593248"/>
    <w:rsid w:val="00593411"/>
    <w:rsid w:val="005A4672"/>
    <w:rsid w:val="005B1246"/>
    <w:rsid w:val="005C1566"/>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A1980"/>
    <w:rsid w:val="006B38C9"/>
    <w:rsid w:val="006C6B79"/>
    <w:rsid w:val="006D11EE"/>
    <w:rsid w:val="006D198F"/>
    <w:rsid w:val="006D55A1"/>
    <w:rsid w:val="006D6A37"/>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130"/>
    <w:rsid w:val="00734D89"/>
    <w:rsid w:val="0073764E"/>
    <w:rsid w:val="00737BB1"/>
    <w:rsid w:val="00740281"/>
    <w:rsid w:val="0075382D"/>
    <w:rsid w:val="007539FC"/>
    <w:rsid w:val="00761217"/>
    <w:rsid w:val="007620DA"/>
    <w:rsid w:val="00765522"/>
    <w:rsid w:val="00771182"/>
    <w:rsid w:val="0077316E"/>
    <w:rsid w:val="007731C7"/>
    <w:rsid w:val="00773AA0"/>
    <w:rsid w:val="00776BCD"/>
    <w:rsid w:val="0078201B"/>
    <w:rsid w:val="00784B19"/>
    <w:rsid w:val="007877CD"/>
    <w:rsid w:val="00790DB7"/>
    <w:rsid w:val="0079341B"/>
    <w:rsid w:val="007975E7"/>
    <w:rsid w:val="00797742"/>
    <w:rsid w:val="007A4FA3"/>
    <w:rsid w:val="007A53DB"/>
    <w:rsid w:val="007A545C"/>
    <w:rsid w:val="007A71F7"/>
    <w:rsid w:val="007A781F"/>
    <w:rsid w:val="007B0D0D"/>
    <w:rsid w:val="007B6FD6"/>
    <w:rsid w:val="007C1FD9"/>
    <w:rsid w:val="007C4F04"/>
    <w:rsid w:val="007C5F79"/>
    <w:rsid w:val="007D047A"/>
    <w:rsid w:val="007E1F4E"/>
    <w:rsid w:val="007E5C50"/>
    <w:rsid w:val="007E6EE1"/>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E1A"/>
    <w:rsid w:val="00834F4B"/>
    <w:rsid w:val="0083670C"/>
    <w:rsid w:val="00837A14"/>
    <w:rsid w:val="008428F1"/>
    <w:rsid w:val="008434B6"/>
    <w:rsid w:val="00843830"/>
    <w:rsid w:val="00844A86"/>
    <w:rsid w:val="00846815"/>
    <w:rsid w:val="008501EA"/>
    <w:rsid w:val="008516CC"/>
    <w:rsid w:val="0085191F"/>
    <w:rsid w:val="00855FF9"/>
    <w:rsid w:val="008602E0"/>
    <w:rsid w:val="00861212"/>
    <w:rsid w:val="00864C63"/>
    <w:rsid w:val="00867E21"/>
    <w:rsid w:val="00875288"/>
    <w:rsid w:val="0088018C"/>
    <w:rsid w:val="008829EC"/>
    <w:rsid w:val="008876B8"/>
    <w:rsid w:val="008900AA"/>
    <w:rsid w:val="0089555F"/>
    <w:rsid w:val="00895C00"/>
    <w:rsid w:val="00896CD1"/>
    <w:rsid w:val="008A48F2"/>
    <w:rsid w:val="008A4970"/>
    <w:rsid w:val="008A6F68"/>
    <w:rsid w:val="008B0A4D"/>
    <w:rsid w:val="008B22F1"/>
    <w:rsid w:val="008B2E4F"/>
    <w:rsid w:val="008C0621"/>
    <w:rsid w:val="008C2633"/>
    <w:rsid w:val="008C42B6"/>
    <w:rsid w:val="008C4DBB"/>
    <w:rsid w:val="008D0EE2"/>
    <w:rsid w:val="008D4E31"/>
    <w:rsid w:val="008D7132"/>
    <w:rsid w:val="008D7FCE"/>
    <w:rsid w:val="008E436D"/>
    <w:rsid w:val="008E5C2F"/>
    <w:rsid w:val="008E640A"/>
    <w:rsid w:val="008E722E"/>
    <w:rsid w:val="008F29DC"/>
    <w:rsid w:val="009036EF"/>
    <w:rsid w:val="00905ADB"/>
    <w:rsid w:val="009101BB"/>
    <w:rsid w:val="00910466"/>
    <w:rsid w:val="00914349"/>
    <w:rsid w:val="00915C26"/>
    <w:rsid w:val="00916A20"/>
    <w:rsid w:val="00920BE4"/>
    <w:rsid w:val="00926722"/>
    <w:rsid w:val="00930004"/>
    <w:rsid w:val="00935BF7"/>
    <w:rsid w:val="009544FD"/>
    <w:rsid w:val="00955F13"/>
    <w:rsid w:val="00963239"/>
    <w:rsid w:val="00963444"/>
    <w:rsid w:val="00963906"/>
    <w:rsid w:val="0096399F"/>
    <w:rsid w:val="009748B6"/>
    <w:rsid w:val="0097693B"/>
    <w:rsid w:val="00977D82"/>
    <w:rsid w:val="00981E8C"/>
    <w:rsid w:val="00984B63"/>
    <w:rsid w:val="00995C9B"/>
    <w:rsid w:val="00996D11"/>
    <w:rsid w:val="009A0E4A"/>
    <w:rsid w:val="009A1ECD"/>
    <w:rsid w:val="009A4FED"/>
    <w:rsid w:val="009A608D"/>
    <w:rsid w:val="009A79C4"/>
    <w:rsid w:val="009B2881"/>
    <w:rsid w:val="009B5C99"/>
    <w:rsid w:val="009B60A2"/>
    <w:rsid w:val="009B66E4"/>
    <w:rsid w:val="009C5ECD"/>
    <w:rsid w:val="009C67FE"/>
    <w:rsid w:val="009C7CD7"/>
    <w:rsid w:val="009D17A3"/>
    <w:rsid w:val="009D1E2E"/>
    <w:rsid w:val="009E029A"/>
    <w:rsid w:val="009E6D5D"/>
    <w:rsid w:val="009F3172"/>
    <w:rsid w:val="009F4ABA"/>
    <w:rsid w:val="00A0495A"/>
    <w:rsid w:val="00A065F0"/>
    <w:rsid w:val="00A123E7"/>
    <w:rsid w:val="00A20772"/>
    <w:rsid w:val="00A271CA"/>
    <w:rsid w:val="00A27546"/>
    <w:rsid w:val="00A27DE5"/>
    <w:rsid w:val="00A31E7D"/>
    <w:rsid w:val="00A40DA7"/>
    <w:rsid w:val="00A4143D"/>
    <w:rsid w:val="00A53AD3"/>
    <w:rsid w:val="00A55A8D"/>
    <w:rsid w:val="00A567B0"/>
    <w:rsid w:val="00A62B26"/>
    <w:rsid w:val="00A64A3F"/>
    <w:rsid w:val="00A66535"/>
    <w:rsid w:val="00A66CA1"/>
    <w:rsid w:val="00A67480"/>
    <w:rsid w:val="00A80EEE"/>
    <w:rsid w:val="00A81ADC"/>
    <w:rsid w:val="00A82DA2"/>
    <w:rsid w:val="00A9214F"/>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5EF8"/>
    <w:rsid w:val="00AC7992"/>
    <w:rsid w:val="00AD39A7"/>
    <w:rsid w:val="00AE1352"/>
    <w:rsid w:val="00AE22DE"/>
    <w:rsid w:val="00AE6B5A"/>
    <w:rsid w:val="00AF7743"/>
    <w:rsid w:val="00B02B7F"/>
    <w:rsid w:val="00B05D3D"/>
    <w:rsid w:val="00B06893"/>
    <w:rsid w:val="00B06F25"/>
    <w:rsid w:val="00B06F65"/>
    <w:rsid w:val="00B10A41"/>
    <w:rsid w:val="00B12B83"/>
    <w:rsid w:val="00B151D1"/>
    <w:rsid w:val="00B226A7"/>
    <w:rsid w:val="00B2756F"/>
    <w:rsid w:val="00B31FB3"/>
    <w:rsid w:val="00B35A45"/>
    <w:rsid w:val="00B36166"/>
    <w:rsid w:val="00B369CD"/>
    <w:rsid w:val="00B3742A"/>
    <w:rsid w:val="00B37872"/>
    <w:rsid w:val="00B5187B"/>
    <w:rsid w:val="00B5285B"/>
    <w:rsid w:val="00B61CD4"/>
    <w:rsid w:val="00B625A4"/>
    <w:rsid w:val="00B70947"/>
    <w:rsid w:val="00B7255A"/>
    <w:rsid w:val="00B93123"/>
    <w:rsid w:val="00B94043"/>
    <w:rsid w:val="00BA032B"/>
    <w:rsid w:val="00BA48C2"/>
    <w:rsid w:val="00BC0C85"/>
    <w:rsid w:val="00BC473B"/>
    <w:rsid w:val="00BC7503"/>
    <w:rsid w:val="00BE09A5"/>
    <w:rsid w:val="00BE4924"/>
    <w:rsid w:val="00BE5817"/>
    <w:rsid w:val="00BF3343"/>
    <w:rsid w:val="00BF4A94"/>
    <w:rsid w:val="00C0150C"/>
    <w:rsid w:val="00C10D34"/>
    <w:rsid w:val="00C17A3F"/>
    <w:rsid w:val="00C311A0"/>
    <w:rsid w:val="00C31846"/>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96F1F"/>
    <w:rsid w:val="00CA0B23"/>
    <w:rsid w:val="00CA346B"/>
    <w:rsid w:val="00CA4350"/>
    <w:rsid w:val="00CA7AC2"/>
    <w:rsid w:val="00CB08D0"/>
    <w:rsid w:val="00CC16C0"/>
    <w:rsid w:val="00CC1C69"/>
    <w:rsid w:val="00CC7D62"/>
    <w:rsid w:val="00CD55C9"/>
    <w:rsid w:val="00CD6ED2"/>
    <w:rsid w:val="00CE3791"/>
    <w:rsid w:val="00CE3D72"/>
    <w:rsid w:val="00CF0E79"/>
    <w:rsid w:val="00CF126F"/>
    <w:rsid w:val="00CF3F9C"/>
    <w:rsid w:val="00D00A35"/>
    <w:rsid w:val="00D01EDD"/>
    <w:rsid w:val="00D05561"/>
    <w:rsid w:val="00D05CB9"/>
    <w:rsid w:val="00D05FCF"/>
    <w:rsid w:val="00D2098B"/>
    <w:rsid w:val="00D226ED"/>
    <w:rsid w:val="00D228AD"/>
    <w:rsid w:val="00D27407"/>
    <w:rsid w:val="00D27F71"/>
    <w:rsid w:val="00D44FAA"/>
    <w:rsid w:val="00D511A9"/>
    <w:rsid w:val="00D630A7"/>
    <w:rsid w:val="00D706B7"/>
    <w:rsid w:val="00D72C3F"/>
    <w:rsid w:val="00D908A1"/>
    <w:rsid w:val="00DA1751"/>
    <w:rsid w:val="00DA73F2"/>
    <w:rsid w:val="00DB4CCE"/>
    <w:rsid w:val="00DC25FD"/>
    <w:rsid w:val="00DC712C"/>
    <w:rsid w:val="00DD2798"/>
    <w:rsid w:val="00DD3C67"/>
    <w:rsid w:val="00DD7994"/>
    <w:rsid w:val="00DE1204"/>
    <w:rsid w:val="00DE19D8"/>
    <w:rsid w:val="00DE5A0D"/>
    <w:rsid w:val="00DE68AB"/>
    <w:rsid w:val="00DF0CCB"/>
    <w:rsid w:val="00DF4F9A"/>
    <w:rsid w:val="00DF7B96"/>
    <w:rsid w:val="00E015E4"/>
    <w:rsid w:val="00E0194F"/>
    <w:rsid w:val="00E03C22"/>
    <w:rsid w:val="00E055E2"/>
    <w:rsid w:val="00E074A9"/>
    <w:rsid w:val="00E075AC"/>
    <w:rsid w:val="00E15CB6"/>
    <w:rsid w:val="00E17059"/>
    <w:rsid w:val="00E170CD"/>
    <w:rsid w:val="00E4229A"/>
    <w:rsid w:val="00E454E9"/>
    <w:rsid w:val="00E503F2"/>
    <w:rsid w:val="00E531F7"/>
    <w:rsid w:val="00E54B8F"/>
    <w:rsid w:val="00E54FA7"/>
    <w:rsid w:val="00E562D1"/>
    <w:rsid w:val="00E674A9"/>
    <w:rsid w:val="00E7276E"/>
    <w:rsid w:val="00E91776"/>
    <w:rsid w:val="00E94433"/>
    <w:rsid w:val="00EA1E03"/>
    <w:rsid w:val="00EA5A88"/>
    <w:rsid w:val="00EA7937"/>
    <w:rsid w:val="00EB0AF3"/>
    <w:rsid w:val="00EB22FB"/>
    <w:rsid w:val="00EB402B"/>
    <w:rsid w:val="00EB7C6B"/>
    <w:rsid w:val="00EC1798"/>
    <w:rsid w:val="00EC2FED"/>
    <w:rsid w:val="00EC5FDD"/>
    <w:rsid w:val="00ED2850"/>
    <w:rsid w:val="00ED6B2E"/>
    <w:rsid w:val="00EE03BF"/>
    <w:rsid w:val="00EE18A2"/>
    <w:rsid w:val="00EE2FFD"/>
    <w:rsid w:val="00EF1ACB"/>
    <w:rsid w:val="00EF318F"/>
    <w:rsid w:val="00EF397F"/>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3276"/>
    <w:rsid w:val="00F857C3"/>
    <w:rsid w:val="00FA05F4"/>
    <w:rsid w:val="00FA177B"/>
    <w:rsid w:val="00FA4E5A"/>
    <w:rsid w:val="00FC0C13"/>
    <w:rsid w:val="00FC11EA"/>
    <w:rsid w:val="00FD292B"/>
    <w:rsid w:val="00FD2DC1"/>
    <w:rsid w:val="00FD5D86"/>
    <w:rsid w:val="00FD6729"/>
    <w:rsid w:val="00FE1B19"/>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 w:id="108229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83</cp:revision>
  <cp:lastPrinted>2005-02-28T19:50:00Z</cp:lastPrinted>
  <dcterms:created xsi:type="dcterms:W3CDTF">2017-07-21T12:01:00Z</dcterms:created>
  <dcterms:modified xsi:type="dcterms:W3CDTF">2021-05-27T12:05:00Z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